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  <w:r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 </w:t>
      </w: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  <w:r>
        <w:rPr>
          <w:rFonts w:ascii="Times New Roman" w:hAnsi="Times New Roman"/>
          <w:noProof/>
          <w:color w:val="121212"/>
          <w:sz w:val="28"/>
          <w:szCs w:val="28"/>
          <w:shd w:val="clear" w:color="auto" w:fill="FCFDFE"/>
        </w:rPr>
        <w:t xml:space="preserve">  </w:t>
      </w:r>
      <w:r>
        <w:rPr>
          <w:rFonts w:ascii="Times New Roman" w:hAnsi="Times New Roman"/>
          <w:noProof/>
          <w:color w:val="121212"/>
          <w:sz w:val="28"/>
          <w:szCs w:val="28"/>
          <w:shd w:val="clear" w:color="auto" w:fill="FCFDFE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user\Pictures\2019-0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-1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EF10E4">
      <w:pPr>
        <w:spacing w:after="0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EF10E4" w:rsidRDefault="00EF10E4" w:rsidP="00D91C4F">
      <w:pPr>
        <w:spacing w:after="0"/>
        <w:ind w:left="-1134"/>
        <w:rPr>
          <w:rFonts w:ascii="Times New Roman" w:hAnsi="Times New Roman"/>
          <w:color w:val="121212"/>
          <w:sz w:val="28"/>
          <w:szCs w:val="28"/>
          <w:shd w:val="clear" w:color="auto" w:fill="FCFDFE"/>
        </w:rPr>
      </w:pPr>
    </w:p>
    <w:p w:rsidR="00D91C4F" w:rsidRPr="00947311" w:rsidRDefault="00D91C4F" w:rsidP="00D91C4F">
      <w:pPr>
        <w:spacing w:after="0"/>
        <w:ind w:left="-1134"/>
        <w:rPr>
          <w:rFonts w:ascii="Times New Roman" w:hAnsi="Times New Roman"/>
          <w:sz w:val="28"/>
          <w:szCs w:val="28"/>
        </w:rPr>
      </w:pPr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 плёнок, </w:t>
      </w:r>
      <w:proofErr w:type="spellStart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>стикеров</w:t>
      </w:r>
      <w:proofErr w:type="spellEnd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-наклеек, кулонов, </w:t>
      </w:r>
      <w:proofErr w:type="spellStart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>брелков</w:t>
      </w:r>
      <w:proofErr w:type="spellEnd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>Термонаклейки</w:t>
      </w:r>
      <w:proofErr w:type="spellEnd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 наносятся на ткань одежды с помощью утюга. Упругие скручивающиеся полоски и браслеты - накручиваются на руку, на ногу или на сумку. Использование </w:t>
      </w:r>
      <w:proofErr w:type="spellStart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>фликеров</w:t>
      </w:r>
      <w:proofErr w:type="spellEnd"/>
      <w:r w:rsidRPr="00947311">
        <w:rPr>
          <w:rFonts w:ascii="Times New Roman" w:hAnsi="Times New Roman"/>
          <w:color w:val="121212"/>
          <w:sz w:val="28"/>
          <w:szCs w:val="28"/>
          <w:shd w:val="clear" w:color="auto" w:fill="FCFDFE"/>
        </w:rPr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</w:t>
      </w:r>
      <w:r w:rsidRPr="00947311">
        <w:rPr>
          <w:rStyle w:val="apple-converted-space"/>
          <w:rFonts w:ascii="Times New Roman" w:hAnsi="Times New Roman"/>
          <w:color w:val="121212"/>
          <w:sz w:val="28"/>
          <w:szCs w:val="28"/>
          <w:shd w:val="clear" w:color="auto" w:fill="FCFDFE"/>
        </w:rPr>
        <w:t> </w:t>
      </w:r>
    </w:p>
    <w:p w:rsidR="00D91C4F" w:rsidRPr="00947311" w:rsidRDefault="00D91C4F" w:rsidP="00D91C4F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47311">
        <w:rPr>
          <w:color w:val="000000"/>
          <w:sz w:val="28"/>
          <w:szCs w:val="28"/>
        </w:rPr>
        <w:t xml:space="preserve">3.2.Пешеходу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947311">
        <w:rPr>
          <w:color w:val="000000"/>
          <w:sz w:val="28"/>
          <w:szCs w:val="28"/>
        </w:rPr>
        <w:t>световозвращающих</w:t>
      </w:r>
      <w:proofErr w:type="spellEnd"/>
      <w:r w:rsidRPr="00947311">
        <w:rPr>
          <w:color w:val="000000"/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947311">
        <w:rPr>
          <w:color w:val="000000"/>
          <w:sz w:val="28"/>
          <w:szCs w:val="28"/>
        </w:rPr>
        <w:t>световозвращающим</w:t>
      </w:r>
      <w:proofErr w:type="spellEnd"/>
      <w:r w:rsidRPr="00947311">
        <w:rPr>
          <w:color w:val="000000"/>
          <w:sz w:val="28"/>
          <w:szCs w:val="28"/>
        </w:rPr>
        <w:t xml:space="preserve"> эффектом обладают </w:t>
      </w:r>
      <w:proofErr w:type="spellStart"/>
      <w:r w:rsidRPr="00947311">
        <w:rPr>
          <w:color w:val="000000"/>
          <w:sz w:val="28"/>
          <w:szCs w:val="28"/>
        </w:rPr>
        <w:t>световозвращатели</w:t>
      </w:r>
      <w:proofErr w:type="spellEnd"/>
      <w:r w:rsidRPr="00947311">
        <w:rPr>
          <w:color w:val="000000"/>
          <w:sz w:val="28"/>
          <w:szCs w:val="28"/>
        </w:rPr>
        <w:t xml:space="preserve"> серо-белого и лимонного цвета.</w:t>
      </w:r>
    </w:p>
    <w:p w:rsidR="00D91C4F" w:rsidRPr="00947311" w:rsidRDefault="00D91C4F" w:rsidP="00D91C4F">
      <w:pPr>
        <w:shd w:val="clear" w:color="auto" w:fill="FFFFFF"/>
        <w:spacing w:after="0"/>
        <w:ind w:left="-1134"/>
        <w:jc w:val="both"/>
        <w:rPr>
          <w:rStyle w:val="apple-converted-space"/>
          <w:rFonts w:ascii="Times New Roman" w:hAnsi="Times New Roman"/>
          <w:color w:val="1A1200"/>
          <w:sz w:val="28"/>
          <w:szCs w:val="28"/>
        </w:rPr>
      </w:pPr>
      <w:r>
        <w:rPr>
          <w:rFonts w:ascii="Times New Roman" w:hAnsi="Times New Roman"/>
          <w:color w:val="1A1200"/>
          <w:sz w:val="28"/>
          <w:szCs w:val="28"/>
        </w:rPr>
        <w:t>3.3</w:t>
      </w:r>
      <w:r w:rsidRPr="00947311">
        <w:rPr>
          <w:rFonts w:ascii="Times New Roman" w:hAnsi="Times New Roman"/>
          <w:color w:val="1A1200"/>
          <w:sz w:val="28"/>
          <w:szCs w:val="28"/>
        </w:rPr>
        <w:t xml:space="preserve">.Для несовершеннолетних велосипедистов эффективно использовать нашивки из </w:t>
      </w:r>
      <w:proofErr w:type="spellStart"/>
      <w:r w:rsidRPr="00947311">
        <w:rPr>
          <w:rFonts w:ascii="Times New Roman" w:hAnsi="Times New Roman"/>
          <w:color w:val="1A1200"/>
          <w:sz w:val="28"/>
          <w:szCs w:val="28"/>
        </w:rPr>
        <w:t>световозвращающей</w:t>
      </w:r>
      <w:proofErr w:type="spellEnd"/>
      <w:r w:rsidRPr="00947311">
        <w:rPr>
          <w:rFonts w:ascii="Times New Roman" w:hAnsi="Times New Roman"/>
          <w:color w:val="1A1200"/>
          <w:sz w:val="28"/>
          <w:szCs w:val="28"/>
        </w:rPr>
        <w:t xml:space="preserve"> ленты на жилетах и поясах, наклейки </w:t>
      </w:r>
      <w:proofErr w:type="spellStart"/>
      <w:r w:rsidRPr="00947311">
        <w:rPr>
          <w:rFonts w:ascii="Times New Roman" w:hAnsi="Times New Roman"/>
          <w:color w:val="1A1200"/>
          <w:sz w:val="28"/>
          <w:szCs w:val="28"/>
        </w:rPr>
        <w:t>фликеров</w:t>
      </w:r>
      <w:proofErr w:type="spellEnd"/>
      <w:r w:rsidRPr="00947311">
        <w:rPr>
          <w:rFonts w:ascii="Times New Roman" w:hAnsi="Times New Roman"/>
          <w:color w:val="1A1200"/>
          <w:sz w:val="28"/>
          <w:szCs w:val="28"/>
        </w:rPr>
        <w:t xml:space="preserve"> - на касках, элементах велосипеда.</w:t>
      </w:r>
    </w:p>
    <w:p w:rsidR="00D91C4F" w:rsidRPr="00947311" w:rsidRDefault="00D91C4F" w:rsidP="00D91C4F">
      <w:pPr>
        <w:pStyle w:val="a3"/>
        <w:spacing w:before="0" w:beforeAutospacing="0" w:after="0" w:afterAutospacing="0"/>
        <w:ind w:left="-1134"/>
        <w:rPr>
          <w:b/>
          <w:sz w:val="28"/>
          <w:szCs w:val="28"/>
        </w:rPr>
      </w:pPr>
      <w:r w:rsidRPr="00947311">
        <w:rPr>
          <w:b/>
          <w:color w:val="052635"/>
          <w:sz w:val="28"/>
          <w:szCs w:val="28"/>
          <w:shd w:val="clear" w:color="auto" w:fill="FFFFFF"/>
        </w:rPr>
        <w:t xml:space="preserve"> 4.</w:t>
      </w:r>
      <w:r w:rsidRPr="00947311">
        <w:rPr>
          <w:b/>
          <w:sz w:val="28"/>
          <w:szCs w:val="28"/>
        </w:rPr>
        <w:t>Ответственность и контроль.</w:t>
      </w:r>
    </w:p>
    <w:p w:rsidR="00D91C4F" w:rsidRPr="00947311" w:rsidRDefault="00D91C4F" w:rsidP="00D91C4F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47311">
        <w:rPr>
          <w:color w:val="052635"/>
          <w:sz w:val="28"/>
          <w:szCs w:val="28"/>
          <w:shd w:val="clear" w:color="auto" w:fill="FFFFFF"/>
        </w:rPr>
        <w:t>4.</w:t>
      </w:r>
      <w:r w:rsidRPr="00947311">
        <w:rPr>
          <w:color w:val="000000"/>
          <w:sz w:val="28"/>
          <w:szCs w:val="28"/>
        </w:rPr>
        <w:t xml:space="preserve">1. Ответственность за наличие у </w:t>
      </w:r>
      <w:r w:rsidR="002130C5">
        <w:rPr>
          <w:color w:val="000000"/>
          <w:sz w:val="28"/>
          <w:szCs w:val="28"/>
        </w:rPr>
        <w:t xml:space="preserve"> обучающихся </w:t>
      </w:r>
      <w:r w:rsidRPr="00947311">
        <w:rPr>
          <w:color w:val="000000"/>
          <w:sz w:val="28"/>
          <w:szCs w:val="28"/>
        </w:rPr>
        <w:t xml:space="preserve"> светоотражающего элемента несут </w:t>
      </w:r>
      <w:r w:rsidR="002130C5">
        <w:rPr>
          <w:color w:val="000000"/>
          <w:sz w:val="28"/>
          <w:szCs w:val="28"/>
        </w:rPr>
        <w:t xml:space="preserve">их </w:t>
      </w:r>
      <w:r w:rsidRPr="00947311">
        <w:rPr>
          <w:color w:val="000000"/>
          <w:sz w:val="28"/>
          <w:szCs w:val="28"/>
        </w:rPr>
        <w:t>родители (законные представители)</w:t>
      </w:r>
      <w:proofErr w:type="gramStart"/>
      <w:r w:rsidRPr="00947311">
        <w:rPr>
          <w:color w:val="000000"/>
          <w:sz w:val="28"/>
          <w:szCs w:val="28"/>
        </w:rPr>
        <w:t xml:space="preserve"> </w:t>
      </w:r>
      <w:r w:rsidR="002130C5">
        <w:rPr>
          <w:color w:val="000000"/>
          <w:sz w:val="28"/>
          <w:szCs w:val="28"/>
        </w:rPr>
        <w:t xml:space="preserve"> </w:t>
      </w:r>
      <w:r w:rsidRPr="00947311">
        <w:rPr>
          <w:color w:val="000000"/>
          <w:sz w:val="28"/>
          <w:szCs w:val="28"/>
        </w:rPr>
        <w:t>.</w:t>
      </w:r>
      <w:proofErr w:type="gramEnd"/>
    </w:p>
    <w:p w:rsidR="00D91C4F" w:rsidRPr="00947311" w:rsidRDefault="00D91C4F" w:rsidP="00D91C4F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47311">
        <w:rPr>
          <w:color w:val="052635"/>
          <w:sz w:val="28"/>
          <w:szCs w:val="28"/>
          <w:shd w:val="clear" w:color="auto" w:fill="FFFFFF"/>
        </w:rPr>
        <w:t>4.</w:t>
      </w:r>
      <w:r w:rsidRPr="00947311">
        <w:rPr>
          <w:color w:val="000000"/>
          <w:sz w:val="28"/>
          <w:szCs w:val="28"/>
        </w:rPr>
        <w:t>2. Светоотражающие элементы должны присутствовать на одежде ученика в любое время года.</w:t>
      </w:r>
    </w:p>
    <w:p w:rsidR="00D91C4F" w:rsidRPr="00947311" w:rsidRDefault="00D91C4F" w:rsidP="00D91C4F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47311">
        <w:rPr>
          <w:color w:val="052635"/>
          <w:sz w:val="28"/>
          <w:szCs w:val="28"/>
          <w:shd w:val="clear" w:color="auto" w:fill="FFFFFF"/>
        </w:rPr>
        <w:t>4.</w:t>
      </w:r>
      <w:r w:rsidRPr="00947311">
        <w:rPr>
          <w:color w:val="000000"/>
          <w:sz w:val="28"/>
          <w:szCs w:val="28"/>
        </w:rPr>
        <w:t xml:space="preserve">3. </w:t>
      </w:r>
      <w:proofErr w:type="gramStart"/>
      <w:r w:rsidRPr="00947311">
        <w:rPr>
          <w:color w:val="000000"/>
          <w:sz w:val="28"/>
          <w:szCs w:val="28"/>
        </w:rPr>
        <w:t>Контроль за</w:t>
      </w:r>
      <w:proofErr w:type="gramEnd"/>
      <w:r w:rsidRPr="00947311">
        <w:rPr>
          <w:color w:val="000000"/>
          <w:sz w:val="28"/>
          <w:szCs w:val="28"/>
        </w:rPr>
        <w:t xml:space="preserve"> наличием у </w:t>
      </w:r>
      <w:r w:rsidR="002130C5">
        <w:rPr>
          <w:color w:val="000000"/>
          <w:sz w:val="28"/>
          <w:szCs w:val="28"/>
        </w:rPr>
        <w:t xml:space="preserve"> обучающегося</w:t>
      </w:r>
      <w:r w:rsidRPr="00947311">
        <w:rPr>
          <w:color w:val="000000"/>
          <w:sz w:val="28"/>
          <w:szCs w:val="28"/>
        </w:rPr>
        <w:t xml:space="preserve"> светоотражающих элементов осуществляют представители родительского патруля школы,</w:t>
      </w:r>
      <w:r>
        <w:rPr>
          <w:color w:val="000000"/>
          <w:sz w:val="28"/>
          <w:szCs w:val="28"/>
        </w:rPr>
        <w:t xml:space="preserve"> </w:t>
      </w:r>
      <w:r w:rsidRPr="00947311">
        <w:rPr>
          <w:color w:val="000000"/>
          <w:sz w:val="28"/>
          <w:szCs w:val="28"/>
        </w:rPr>
        <w:t xml:space="preserve"> а также классные руководители.</w:t>
      </w:r>
    </w:p>
    <w:p w:rsidR="00D91C4F" w:rsidRDefault="00D91C4F" w:rsidP="00D91C4F">
      <w:pPr>
        <w:spacing w:after="0"/>
      </w:pPr>
    </w:p>
    <w:p w:rsidR="00805A27" w:rsidRDefault="00805A27"/>
    <w:sectPr w:rsidR="00805A27" w:rsidSect="009473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50C"/>
    <w:multiLevelType w:val="multilevel"/>
    <w:tmpl w:val="CABE87C6"/>
    <w:lvl w:ilvl="0">
      <w:start w:val="1"/>
      <w:numFmt w:val="decimal"/>
      <w:lvlText w:val="%1."/>
      <w:lvlJc w:val="left"/>
      <w:pPr>
        <w:ind w:left="390" w:hanging="390"/>
      </w:pPr>
      <w:rPr>
        <w:rFonts w:ascii="Tahoma" w:hAnsi="Tahoma" w:cs="Tahoma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1110" w:hanging="390"/>
      </w:pPr>
      <w:rPr>
        <w:rFonts w:ascii="Tahoma" w:hAnsi="Tahoma" w:cs="Tahoma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ahoma" w:hAnsi="Tahoma" w:cs="Tahoma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ahoma" w:hAnsi="Tahoma" w:cs="Tahoma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ahoma" w:hAnsi="Tahoma" w:cs="Tahoma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ahoma" w:hAnsi="Tahoma" w:cs="Tahoma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ahoma" w:hAnsi="Tahoma" w:cs="Tahoma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ahoma" w:hAnsi="Tahoma" w:cs="Tahoma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ahoma" w:hAnsi="Tahoma" w:cs="Tahoma" w:hint="default"/>
        <w:color w:val="00000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F"/>
    <w:rsid w:val="002130C5"/>
    <w:rsid w:val="00220C86"/>
    <w:rsid w:val="00281514"/>
    <w:rsid w:val="003432E9"/>
    <w:rsid w:val="004F4B54"/>
    <w:rsid w:val="00805A27"/>
    <w:rsid w:val="00886509"/>
    <w:rsid w:val="008D249D"/>
    <w:rsid w:val="00A7284E"/>
    <w:rsid w:val="00D87369"/>
    <w:rsid w:val="00D91C4F"/>
    <w:rsid w:val="00DD02CD"/>
    <w:rsid w:val="00E27C23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91C4F"/>
  </w:style>
  <w:style w:type="paragraph" w:customStyle="1" w:styleId="ConsPlusTitle">
    <w:name w:val="ConsPlusTitle"/>
    <w:uiPriority w:val="99"/>
    <w:rsid w:val="00A7284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91C4F"/>
  </w:style>
  <w:style w:type="paragraph" w:customStyle="1" w:styleId="ConsPlusTitle">
    <w:name w:val="ConsPlusTitle"/>
    <w:uiPriority w:val="99"/>
    <w:rsid w:val="00A7284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2019-02-14T17:43:00Z</cp:lastPrinted>
  <dcterms:created xsi:type="dcterms:W3CDTF">2019-02-14T16:31:00Z</dcterms:created>
  <dcterms:modified xsi:type="dcterms:W3CDTF">2019-02-14T17:48:00Z</dcterms:modified>
</cp:coreProperties>
</file>